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B4ED" w14:textId="02713737" w:rsidR="00B76904" w:rsidRPr="00B76904" w:rsidRDefault="00F160AE" w:rsidP="00D90519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[</w:t>
      </w:r>
      <w:r w:rsidR="00B76904" w:rsidRPr="00B76904">
        <w:rPr>
          <w:rFonts w:ascii="Arial" w:hAnsi="Arial" w:cs="Arial"/>
          <w:b/>
        </w:rPr>
        <w:t xml:space="preserve">TO </w:t>
      </w:r>
      <w:r w:rsidR="00BC41D7">
        <w:rPr>
          <w:rFonts w:ascii="Arial" w:hAnsi="Arial" w:cs="Arial"/>
          <w:b/>
        </w:rPr>
        <w:t>BE</w:t>
      </w:r>
      <w:r w:rsidR="00F6312C">
        <w:rPr>
          <w:rFonts w:ascii="Arial" w:hAnsi="Arial" w:cs="Arial"/>
          <w:b/>
        </w:rPr>
        <w:t xml:space="preserve"> PRINTED</w:t>
      </w:r>
      <w:r>
        <w:rPr>
          <w:rFonts w:ascii="Arial" w:hAnsi="Arial" w:cs="Arial"/>
          <w:b/>
        </w:rPr>
        <w:t xml:space="preserve"> ON HOSPITAL HEADED PAPER]</w:t>
      </w:r>
    </w:p>
    <w:p w14:paraId="71D12769" w14:textId="4CEC1435" w:rsidR="00F160AE" w:rsidRDefault="00F160AE" w:rsidP="00D90519">
      <w:pPr>
        <w:spacing w:line="240" w:lineRule="auto"/>
        <w:jc w:val="center"/>
        <w:rPr>
          <w:rFonts w:ascii="Arial" w:hAnsi="Arial" w:cs="Arial"/>
          <w:b/>
        </w:rPr>
      </w:pPr>
    </w:p>
    <w:p w14:paraId="17D01AEF" w14:textId="77777777" w:rsidR="003B6361" w:rsidRDefault="003B6361" w:rsidP="00D90519">
      <w:pPr>
        <w:spacing w:line="240" w:lineRule="auto"/>
        <w:jc w:val="center"/>
        <w:rPr>
          <w:rFonts w:ascii="Arial" w:hAnsi="Arial" w:cs="Arial"/>
          <w:b/>
        </w:rPr>
      </w:pPr>
    </w:p>
    <w:p w14:paraId="24BFDC63" w14:textId="7B1BBA90" w:rsidR="000D4FB5" w:rsidRDefault="00B76904" w:rsidP="00D90519">
      <w:pPr>
        <w:spacing w:line="240" w:lineRule="auto"/>
        <w:jc w:val="center"/>
        <w:rPr>
          <w:rFonts w:ascii="Arial" w:hAnsi="Arial" w:cs="Arial"/>
          <w:b/>
        </w:rPr>
      </w:pPr>
      <w:r w:rsidRPr="00B76904">
        <w:rPr>
          <w:rFonts w:ascii="Arial" w:hAnsi="Arial" w:cs="Arial"/>
          <w:b/>
        </w:rPr>
        <w:t>GP LETTER</w:t>
      </w:r>
    </w:p>
    <w:p w14:paraId="6F769834" w14:textId="77777777" w:rsidR="00B76904" w:rsidRPr="00136BDE" w:rsidRDefault="00136BDE" w:rsidP="00BC41D7">
      <w:pPr>
        <w:spacing w:line="240" w:lineRule="auto"/>
        <w:rPr>
          <w:rFonts w:ascii="Arial" w:hAnsi="Arial" w:cs="Arial"/>
          <w:b/>
        </w:rPr>
      </w:pPr>
      <w:r w:rsidRPr="00136BDE">
        <w:rPr>
          <w:rFonts w:ascii="Arial" w:hAnsi="Arial" w:cs="Arial"/>
          <w:b/>
        </w:rPr>
        <w:t>D</w:t>
      </w:r>
      <w:r w:rsidR="00BC41D7" w:rsidRPr="00136BDE">
        <w:rPr>
          <w:rFonts w:ascii="Arial" w:hAnsi="Arial" w:cs="Arial"/>
          <w:b/>
        </w:rPr>
        <w:t>ate</w:t>
      </w:r>
      <w:r w:rsidRPr="00136BDE">
        <w:rPr>
          <w:rFonts w:ascii="Arial" w:hAnsi="Arial" w:cs="Arial"/>
          <w:b/>
        </w:rPr>
        <w:t>:</w:t>
      </w:r>
    </w:p>
    <w:p w14:paraId="33BA05B7" w14:textId="77777777" w:rsidR="003D0EC3" w:rsidRPr="003D0EC3" w:rsidRDefault="00EE7A97" w:rsidP="00D9051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Dr ___________________________</w:t>
      </w:r>
      <w:r w:rsidR="003D0EC3" w:rsidRPr="003D0EC3">
        <w:rPr>
          <w:rFonts w:ascii="Arial" w:hAnsi="Arial" w:cs="Arial"/>
          <w:color w:val="000000"/>
        </w:rPr>
        <w:t>,</w:t>
      </w:r>
    </w:p>
    <w:p w14:paraId="027A1D05" w14:textId="77777777" w:rsidR="0050390A" w:rsidRDefault="003D0EC3" w:rsidP="00D31EA4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RE:</w:t>
      </w:r>
      <w:r>
        <w:rPr>
          <w:rFonts w:ascii="Arial" w:hAnsi="Arial" w:cs="Arial"/>
          <w:b/>
          <w:color w:val="000000"/>
        </w:rPr>
        <w:tab/>
        <w:t xml:space="preserve">Patient’s Name: </w:t>
      </w:r>
      <w:r w:rsidR="00EE7A97" w:rsidRPr="00EE7A97">
        <w:rPr>
          <w:rFonts w:ascii="Arial" w:hAnsi="Arial" w:cs="Arial"/>
          <w:color w:val="000000"/>
        </w:rPr>
        <w:t>________________________________</w:t>
      </w:r>
      <w:r w:rsidR="00EE7A97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DOB: </w:t>
      </w:r>
      <w:r w:rsidR="00EE7A97" w:rsidRPr="00EE7A97">
        <w:rPr>
          <w:rFonts w:ascii="Arial" w:hAnsi="Arial" w:cs="Arial"/>
          <w:color w:val="000000"/>
        </w:rPr>
        <w:t>___</w:t>
      </w:r>
      <w:r w:rsidR="00EE7A97">
        <w:rPr>
          <w:rFonts w:ascii="Arial" w:hAnsi="Arial" w:cs="Arial"/>
          <w:color w:val="000000"/>
        </w:rPr>
        <w:t>_/</w:t>
      </w:r>
      <w:r w:rsidR="00EE7A97" w:rsidRPr="00EE7A97">
        <w:rPr>
          <w:rFonts w:ascii="Arial" w:hAnsi="Arial" w:cs="Arial"/>
          <w:color w:val="000000"/>
        </w:rPr>
        <w:t>___</w:t>
      </w:r>
      <w:r w:rsidR="00EE7A97">
        <w:rPr>
          <w:rFonts w:ascii="Arial" w:hAnsi="Arial" w:cs="Arial"/>
          <w:color w:val="000000"/>
        </w:rPr>
        <w:t>_/</w:t>
      </w:r>
      <w:r w:rsidR="00EE7A97" w:rsidRPr="00EE7A97">
        <w:rPr>
          <w:rFonts w:ascii="Arial" w:hAnsi="Arial" w:cs="Arial"/>
          <w:color w:val="000000"/>
        </w:rPr>
        <w:t>__</w:t>
      </w:r>
      <w:r w:rsidR="00EE7A97">
        <w:rPr>
          <w:rFonts w:ascii="Arial" w:hAnsi="Arial" w:cs="Arial"/>
          <w:color w:val="000000"/>
        </w:rPr>
        <w:t>_</w:t>
      </w:r>
      <w:r w:rsidR="00D31EA4">
        <w:rPr>
          <w:rFonts w:ascii="Arial" w:hAnsi="Arial" w:cs="Arial"/>
          <w:b/>
          <w:color w:val="000000"/>
        </w:rPr>
        <w:tab/>
      </w:r>
    </w:p>
    <w:p w14:paraId="21B7ECA2" w14:textId="77777777" w:rsidR="00B76904" w:rsidRPr="00EE7A97" w:rsidRDefault="003D0EC3" w:rsidP="00D90519">
      <w:pPr>
        <w:spacing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Address:</w:t>
      </w:r>
      <w:r w:rsidR="00EE7A97">
        <w:rPr>
          <w:rFonts w:ascii="Arial" w:hAnsi="Arial" w:cs="Arial"/>
          <w:b/>
          <w:color w:val="000000"/>
        </w:rPr>
        <w:t xml:space="preserve"> </w:t>
      </w:r>
      <w:r w:rsidR="00EE7A97" w:rsidRPr="00EE7A97">
        <w:rPr>
          <w:rFonts w:ascii="Arial" w:hAnsi="Arial" w:cs="Arial"/>
          <w:color w:val="000000"/>
        </w:rPr>
        <w:t>_________________________________________________________</w:t>
      </w:r>
    </w:p>
    <w:p w14:paraId="27FDD5F4" w14:textId="77777777" w:rsidR="00EE7A97" w:rsidRPr="00EE7A97" w:rsidRDefault="00EE7A97" w:rsidP="00BC41D7">
      <w:pPr>
        <w:spacing w:line="240" w:lineRule="auto"/>
        <w:ind w:left="720"/>
        <w:rPr>
          <w:rFonts w:ascii="Arial" w:hAnsi="Arial" w:cs="Arial"/>
          <w:color w:val="000000"/>
        </w:rPr>
      </w:pPr>
      <w:r w:rsidRPr="00EE7A97">
        <w:rPr>
          <w:rFonts w:ascii="Arial" w:hAnsi="Arial" w:cs="Arial"/>
          <w:color w:val="000000"/>
        </w:rPr>
        <w:t>_________________________________________________________________</w:t>
      </w:r>
    </w:p>
    <w:p w14:paraId="14757369" w14:textId="77777777" w:rsidR="00F160AE" w:rsidRDefault="00F160AE" w:rsidP="00AA277B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bCs/>
          <w:color w:val="FF0000"/>
          <w:sz w:val="36"/>
          <w:szCs w:val="96"/>
        </w:rPr>
      </w:pPr>
    </w:p>
    <w:p w14:paraId="5005A69D" w14:textId="4C5FDB86" w:rsidR="00AA277B" w:rsidRPr="00AA277B" w:rsidRDefault="00AA277B" w:rsidP="00AA277B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bCs/>
          <w:color w:val="FF0000"/>
          <w:sz w:val="36"/>
          <w:szCs w:val="96"/>
        </w:rPr>
      </w:pPr>
      <w:r w:rsidRPr="00AA277B">
        <w:rPr>
          <w:rFonts w:ascii="Berlin Sans FB" w:hAnsi="Berlin Sans FB"/>
          <w:bCs/>
          <w:color w:val="FF0000"/>
          <w:sz w:val="36"/>
          <w:szCs w:val="96"/>
        </w:rPr>
        <w:t>ANIMATE</w:t>
      </w:r>
    </w:p>
    <w:p w14:paraId="03D5BEFD" w14:textId="67E0F647" w:rsidR="00AA277B" w:rsidRDefault="00AA277B" w:rsidP="00B279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277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 phase II study of 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ni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volumab 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AA277B">
        <w:rPr>
          <w:rFonts w:ascii="Arial" w:hAnsi="Arial" w:cs="Arial"/>
          <w:b/>
          <w:bCs/>
          <w:sz w:val="24"/>
          <w:szCs w:val="24"/>
        </w:rPr>
        <w:t>onotherapy in patients with relapsed/refractory Hodgkin lymphoma</w:t>
      </w:r>
      <w:r w:rsidR="009708E1">
        <w:rPr>
          <w:rFonts w:ascii="Arial" w:hAnsi="Arial" w:cs="Arial"/>
          <w:b/>
          <w:bCs/>
          <w:sz w:val="24"/>
          <w:szCs w:val="24"/>
        </w:rPr>
        <w:t>,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 fit for 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AA277B">
        <w:rPr>
          <w:rFonts w:ascii="Arial" w:hAnsi="Arial" w:cs="Arial"/>
          <w:b/>
          <w:bCs/>
          <w:sz w:val="24"/>
          <w:szCs w:val="24"/>
        </w:rPr>
        <w:t>utologous s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AA277B">
        <w:rPr>
          <w:rFonts w:ascii="Arial" w:hAnsi="Arial" w:cs="Arial"/>
          <w:b/>
          <w:bCs/>
          <w:sz w:val="24"/>
          <w:szCs w:val="24"/>
        </w:rPr>
        <w:t>m cell transplant</w:t>
      </w:r>
      <w:r w:rsidR="009708E1">
        <w:rPr>
          <w:rFonts w:ascii="Arial" w:hAnsi="Arial" w:cs="Arial"/>
          <w:b/>
          <w:bCs/>
          <w:sz w:val="24"/>
          <w:szCs w:val="24"/>
        </w:rPr>
        <w:t>,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 who fail to reach complete metabolic remission after first or second line salvage therapy</w:t>
      </w:r>
    </w:p>
    <w:p w14:paraId="3A0C9D3E" w14:textId="77777777" w:rsidR="00AA277B" w:rsidRDefault="00AA277B" w:rsidP="00B279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F9293F" w14:textId="5B480E8C" w:rsidR="00901BC2" w:rsidRPr="00635399" w:rsidRDefault="000D4FB5" w:rsidP="00B279F1">
      <w:pPr>
        <w:spacing w:after="0" w:line="240" w:lineRule="auto"/>
        <w:jc w:val="both"/>
        <w:rPr>
          <w:rFonts w:ascii="Arial" w:hAnsi="Arial" w:cs="Arial"/>
        </w:rPr>
      </w:pPr>
      <w:r w:rsidRPr="00635399">
        <w:rPr>
          <w:rFonts w:ascii="Arial" w:hAnsi="Arial" w:cs="Arial"/>
        </w:rPr>
        <w:t>This patient has</w:t>
      </w:r>
      <w:r w:rsidR="005424D9" w:rsidRPr="00635399">
        <w:rPr>
          <w:rFonts w:ascii="Arial" w:hAnsi="Arial" w:cs="Arial"/>
        </w:rPr>
        <w:t xml:space="preserve"> </w:t>
      </w:r>
      <w:r w:rsidRPr="00635399">
        <w:rPr>
          <w:rFonts w:ascii="Arial" w:hAnsi="Arial" w:cs="Arial"/>
        </w:rPr>
        <w:t xml:space="preserve">consented to participate in the above </w:t>
      </w:r>
      <w:r w:rsidR="005573CA" w:rsidRPr="00635399">
        <w:rPr>
          <w:rFonts w:ascii="Arial" w:hAnsi="Arial" w:cs="Arial"/>
        </w:rPr>
        <w:t>clinical trial</w:t>
      </w:r>
      <w:r w:rsidR="00635399" w:rsidRPr="00635399">
        <w:rPr>
          <w:rFonts w:ascii="Arial" w:hAnsi="Arial" w:cs="Arial"/>
        </w:rPr>
        <w:t xml:space="preserve"> which aims to assess the efficacy of nivolumab as a second or third line salvage therapy in relapsed/refractory classical Hodgkin lymphoma patients, particularly as a bridge to stem cell transplant</w:t>
      </w:r>
      <w:r w:rsidR="001E4F1B">
        <w:rPr>
          <w:rFonts w:ascii="Arial" w:hAnsi="Arial" w:cs="Arial"/>
        </w:rPr>
        <w:t>.</w:t>
      </w:r>
    </w:p>
    <w:p w14:paraId="41B00192" w14:textId="77777777" w:rsidR="000246A1" w:rsidRDefault="000246A1" w:rsidP="00B279F1">
      <w:pPr>
        <w:spacing w:after="0" w:line="240" w:lineRule="auto"/>
        <w:jc w:val="both"/>
        <w:rPr>
          <w:rFonts w:ascii="Arial" w:hAnsi="Arial" w:cs="Arial"/>
        </w:rPr>
      </w:pPr>
    </w:p>
    <w:p w14:paraId="183913E9" w14:textId="1F6DD718" w:rsidR="00901BC2" w:rsidRDefault="00901BC2" w:rsidP="00B27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trial is being funded by </w:t>
      </w:r>
      <w:r w:rsidR="00AA277B">
        <w:rPr>
          <w:rFonts w:ascii="Arial" w:hAnsi="Arial" w:cs="Arial"/>
        </w:rPr>
        <w:t>Bristol-Myers Squibb</w:t>
      </w:r>
      <w:r w:rsidR="001E4F1B">
        <w:rPr>
          <w:rFonts w:ascii="Arial" w:hAnsi="Arial" w:cs="Arial"/>
        </w:rPr>
        <w:t xml:space="preserve"> Pharmaceuticals Ltd</w:t>
      </w:r>
      <w:r w:rsidRPr="00F627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is sponsored by U</w:t>
      </w:r>
      <w:r w:rsidR="00BC41D7">
        <w:rPr>
          <w:rFonts w:ascii="Arial" w:hAnsi="Arial" w:cs="Arial"/>
        </w:rPr>
        <w:t xml:space="preserve">niversity </w:t>
      </w:r>
      <w:r>
        <w:rPr>
          <w:rFonts w:ascii="Arial" w:hAnsi="Arial" w:cs="Arial"/>
        </w:rPr>
        <w:t>C</w:t>
      </w:r>
      <w:r w:rsidR="00BC41D7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L</w:t>
      </w:r>
      <w:r w:rsidR="00BC41D7">
        <w:rPr>
          <w:rFonts w:ascii="Arial" w:hAnsi="Arial" w:cs="Arial"/>
        </w:rPr>
        <w:t>ondon</w:t>
      </w:r>
      <w:r w:rsidR="00F63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6312C">
        <w:rPr>
          <w:rFonts w:ascii="Arial" w:hAnsi="Arial" w:cs="Arial"/>
        </w:rPr>
        <w:t xml:space="preserve">is being run </w:t>
      </w:r>
      <w:r>
        <w:rPr>
          <w:rFonts w:ascii="Arial" w:hAnsi="Arial" w:cs="Arial"/>
        </w:rPr>
        <w:t>by the C</w:t>
      </w:r>
      <w:r w:rsidR="00F6312C">
        <w:rPr>
          <w:rFonts w:ascii="Arial" w:hAnsi="Arial" w:cs="Arial"/>
        </w:rPr>
        <w:t xml:space="preserve">ancer </w:t>
      </w:r>
      <w:r>
        <w:rPr>
          <w:rFonts w:ascii="Arial" w:hAnsi="Arial" w:cs="Arial"/>
        </w:rPr>
        <w:t>R</w:t>
      </w:r>
      <w:r w:rsidR="00F6312C">
        <w:rPr>
          <w:rFonts w:ascii="Arial" w:hAnsi="Arial" w:cs="Arial"/>
        </w:rPr>
        <w:t>esearch</w:t>
      </w:r>
      <w:r>
        <w:rPr>
          <w:rFonts w:ascii="Arial" w:hAnsi="Arial" w:cs="Arial"/>
        </w:rPr>
        <w:t xml:space="preserve"> UK &amp; UCL Cancer Trials Centre.</w:t>
      </w:r>
    </w:p>
    <w:p w14:paraId="60BD8B43" w14:textId="77777777" w:rsidR="00901BC2" w:rsidRDefault="00901BC2" w:rsidP="00B279F1">
      <w:pPr>
        <w:spacing w:after="0" w:line="240" w:lineRule="auto"/>
        <w:jc w:val="both"/>
        <w:rPr>
          <w:rFonts w:ascii="Arial" w:hAnsi="Arial" w:cs="Arial"/>
        </w:rPr>
      </w:pPr>
    </w:p>
    <w:p w14:paraId="62947D54" w14:textId="77777777" w:rsidR="000D4FB5" w:rsidRDefault="000D4FB5" w:rsidP="00B27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trial treatment </w:t>
      </w:r>
      <w:r w:rsidR="00227676">
        <w:rPr>
          <w:rFonts w:ascii="Arial" w:hAnsi="Arial" w:cs="Arial"/>
        </w:rPr>
        <w:t>patients</w:t>
      </w:r>
      <w:r w:rsidR="00B00998">
        <w:rPr>
          <w:rFonts w:ascii="Arial" w:hAnsi="Arial" w:cs="Arial"/>
        </w:rPr>
        <w:t xml:space="preserve"> will receive </w:t>
      </w:r>
      <w:r>
        <w:rPr>
          <w:rFonts w:ascii="Arial" w:hAnsi="Arial" w:cs="Arial"/>
        </w:rPr>
        <w:t>is as follows:</w:t>
      </w:r>
    </w:p>
    <w:p w14:paraId="7598E03F" w14:textId="77777777" w:rsidR="00936C8B" w:rsidRDefault="00936C8B" w:rsidP="00B279F1">
      <w:pPr>
        <w:spacing w:after="0" w:line="240" w:lineRule="auto"/>
        <w:jc w:val="both"/>
        <w:rPr>
          <w:rFonts w:ascii="Arial" w:hAnsi="Arial" w:cs="Arial"/>
        </w:rPr>
      </w:pPr>
    </w:p>
    <w:p w14:paraId="04DFBDD6" w14:textId="1DCE9659" w:rsidR="00635399" w:rsidRPr="00635399" w:rsidRDefault="00635399" w:rsidP="00635399">
      <w:pPr>
        <w:pStyle w:val="Instructionsbulleted"/>
        <w:numPr>
          <w:ilvl w:val="0"/>
          <w:numId w:val="0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A PET-CT scan will be performed under trial conditions following 2 cycles of first line or second salvage (</w:t>
      </w:r>
      <w:r w:rsidR="00BB75BB">
        <w:rPr>
          <w:b w:val="0"/>
          <w:i w:val="0"/>
          <w:color w:val="auto"/>
          <w:szCs w:val="22"/>
        </w:rPr>
        <w:t>3/</w:t>
      </w:r>
      <w:r w:rsidRPr="00635399">
        <w:rPr>
          <w:b w:val="0"/>
          <w:i w:val="0"/>
          <w:color w:val="auto"/>
          <w:szCs w:val="22"/>
        </w:rPr>
        <w:t>4 cycles if being treated with brentuximab vedotin) to determine eligibility for trial treatment.</w:t>
      </w:r>
    </w:p>
    <w:p w14:paraId="1682726B" w14:textId="77777777" w:rsidR="00635399" w:rsidRPr="00635399" w:rsidRDefault="00635399" w:rsidP="00635399">
      <w:pPr>
        <w:pStyle w:val="Instructionsbulleted"/>
        <w:numPr>
          <w:ilvl w:val="0"/>
          <w:numId w:val="11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Patients who are PET-negative (Deauville 1-3) will not be eligible for trial treatment. They will enter follow up for the purpose of the trial, and any further treatment will be at their treating clinician’s discretion.</w:t>
      </w:r>
    </w:p>
    <w:p w14:paraId="256C24C6" w14:textId="77777777" w:rsidR="00635399" w:rsidRPr="00635399" w:rsidRDefault="00635399" w:rsidP="00635399">
      <w:pPr>
        <w:pStyle w:val="Instructionsbulleted"/>
        <w:numPr>
          <w:ilvl w:val="0"/>
          <w:numId w:val="11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Patients who are PET-positive (Deauville 4-5) after first line salvage chemotherapy will receive 4 x 14-day cycles of nivolumab.</w:t>
      </w:r>
    </w:p>
    <w:p w14:paraId="40CB98B8" w14:textId="77777777" w:rsidR="00635399" w:rsidRPr="00635399" w:rsidRDefault="00635399" w:rsidP="00635399">
      <w:pPr>
        <w:pStyle w:val="Instructionsbulleted"/>
        <w:numPr>
          <w:ilvl w:val="0"/>
          <w:numId w:val="0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A further PET-CT scan will then be performed:</w:t>
      </w:r>
    </w:p>
    <w:p w14:paraId="5DAEAE0C" w14:textId="77777777" w:rsidR="00635399" w:rsidRPr="00635399" w:rsidRDefault="00635399" w:rsidP="00635399">
      <w:pPr>
        <w:pStyle w:val="Instructionsbulleted"/>
        <w:numPr>
          <w:ilvl w:val="0"/>
          <w:numId w:val="10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Patients who are PET negative (Deauville 1-3) will stop trial treatment and enter follow up.</w:t>
      </w:r>
    </w:p>
    <w:p w14:paraId="1157EF15" w14:textId="757AB9CB" w:rsidR="00936C8B" w:rsidRDefault="00635399" w:rsidP="00635399">
      <w:pPr>
        <w:pStyle w:val="BodyTextIndent2"/>
        <w:spacing w:line="240" w:lineRule="auto"/>
        <w:ind w:left="720"/>
        <w:rPr>
          <w:rFonts w:ascii="Arial" w:hAnsi="Arial" w:cs="Arial"/>
          <w:i w:val="0"/>
          <w:sz w:val="22"/>
          <w:szCs w:val="22"/>
        </w:rPr>
      </w:pPr>
      <w:r w:rsidRPr="00635399">
        <w:rPr>
          <w:rFonts w:ascii="Arial" w:hAnsi="Arial" w:cs="Arial"/>
          <w:i w:val="0"/>
          <w:sz w:val="22"/>
          <w:szCs w:val="22"/>
        </w:rPr>
        <w:t>Patients who are PET positive (Deauville 4-5)</w:t>
      </w:r>
      <w:r w:rsidR="00F160AE">
        <w:rPr>
          <w:rFonts w:ascii="Arial" w:hAnsi="Arial" w:cs="Arial"/>
          <w:i w:val="0"/>
          <w:sz w:val="22"/>
          <w:szCs w:val="22"/>
        </w:rPr>
        <w:t xml:space="preserve"> will have a further 4</w:t>
      </w:r>
      <w:r w:rsidRPr="00635399">
        <w:rPr>
          <w:rFonts w:ascii="Arial" w:hAnsi="Arial" w:cs="Arial"/>
          <w:i w:val="0"/>
          <w:sz w:val="22"/>
          <w:szCs w:val="22"/>
        </w:rPr>
        <w:t xml:space="preserve"> x 14-day cycles of nivolumab, unless there is evidence of progressive disease.</w:t>
      </w:r>
    </w:p>
    <w:p w14:paraId="00369617" w14:textId="49288EDA" w:rsidR="00396411" w:rsidRDefault="00396411" w:rsidP="00635399">
      <w:pPr>
        <w:pStyle w:val="BodyTextIndent2"/>
        <w:spacing w:line="240" w:lineRule="auto"/>
        <w:ind w:left="720"/>
        <w:rPr>
          <w:rFonts w:ascii="Arial" w:hAnsi="Arial" w:cs="Arial"/>
          <w:i w:val="0"/>
          <w:sz w:val="22"/>
          <w:szCs w:val="22"/>
        </w:rPr>
      </w:pPr>
    </w:p>
    <w:p w14:paraId="33FD1844" w14:textId="6857935E" w:rsidR="00396411" w:rsidRPr="00396411" w:rsidRDefault="00396411" w:rsidP="00396411">
      <w:pPr>
        <w:pStyle w:val="BodyTextIndent2"/>
        <w:spacing w:line="240" w:lineRule="auto"/>
        <w:ind w:left="0"/>
        <w:rPr>
          <w:rFonts w:ascii="Arial" w:hAnsi="Arial" w:cs="Arial"/>
          <w:b/>
          <w:iCs/>
          <w:color w:val="0000FF"/>
          <w:sz w:val="22"/>
          <w:szCs w:val="22"/>
        </w:rPr>
      </w:pPr>
      <w:r w:rsidRPr="00396411">
        <w:rPr>
          <w:rFonts w:ascii="Arial" w:hAnsi="Arial" w:cs="Arial"/>
          <w:i w:val="0"/>
          <w:sz w:val="22"/>
          <w:szCs w:val="22"/>
        </w:rPr>
        <w:t xml:space="preserve">Your patient is </w:t>
      </w:r>
      <w:r w:rsidRPr="00396411">
        <w:rPr>
          <w:rFonts w:ascii="Arial" w:hAnsi="Arial" w:cs="Arial"/>
          <w:b/>
          <w:i w:val="0"/>
          <w:sz w:val="22"/>
          <w:szCs w:val="22"/>
        </w:rPr>
        <w:t>PET-negative and will receive no further trial treatment / PET-positive and will now receive 4 x 14-day cycles of nivolumab</w:t>
      </w:r>
      <w:r w:rsidRPr="00396411">
        <w:rPr>
          <w:rFonts w:ascii="Arial" w:hAnsi="Arial" w:cs="Arial"/>
          <w:i w:val="0"/>
          <w:sz w:val="22"/>
          <w:szCs w:val="22"/>
        </w:rPr>
        <w:t xml:space="preserve"> (delete as applicable).</w:t>
      </w:r>
    </w:p>
    <w:p w14:paraId="757BC19B" w14:textId="77777777" w:rsidR="00BC41D7" w:rsidRDefault="00BC41D7" w:rsidP="00B279F1">
      <w:pPr>
        <w:spacing w:after="0" w:line="240" w:lineRule="auto"/>
        <w:jc w:val="both"/>
        <w:rPr>
          <w:rFonts w:ascii="Arial" w:hAnsi="Arial" w:cs="Arial"/>
          <w:b/>
        </w:rPr>
      </w:pPr>
    </w:p>
    <w:p w14:paraId="27BF545E" w14:textId="77777777" w:rsidR="004A23D5" w:rsidRPr="002721DD" w:rsidRDefault="005D07A9" w:rsidP="00B279F1">
      <w:pPr>
        <w:spacing w:after="0" w:line="240" w:lineRule="auto"/>
        <w:jc w:val="both"/>
        <w:rPr>
          <w:rFonts w:ascii="Arial" w:hAnsi="Arial" w:cs="Arial"/>
          <w:b/>
        </w:rPr>
      </w:pPr>
      <w:r w:rsidRPr="002721DD">
        <w:rPr>
          <w:rFonts w:ascii="Arial" w:hAnsi="Arial" w:cs="Arial"/>
          <w:b/>
        </w:rPr>
        <w:t>Common side effects</w:t>
      </w:r>
      <w:r w:rsidR="00C221EE" w:rsidRPr="002721DD">
        <w:rPr>
          <w:rFonts w:ascii="Arial" w:hAnsi="Arial" w:cs="Arial"/>
          <w:b/>
        </w:rPr>
        <w:t xml:space="preserve"> of </w:t>
      </w:r>
      <w:r w:rsidR="002721DD" w:rsidRPr="002721DD">
        <w:rPr>
          <w:rFonts w:ascii="Arial" w:hAnsi="Arial" w:cs="Arial"/>
          <w:b/>
        </w:rPr>
        <w:t>nivolumab</w:t>
      </w:r>
    </w:p>
    <w:p w14:paraId="721453C4" w14:textId="77777777" w:rsidR="00AE675C" w:rsidRPr="00AE675C" w:rsidRDefault="00AB1DDA" w:rsidP="00AE675C">
      <w:pPr>
        <w:spacing w:after="0" w:line="240" w:lineRule="auto"/>
        <w:jc w:val="both"/>
        <w:rPr>
          <w:rFonts w:ascii="Arial" w:hAnsi="Arial" w:cs="Arial"/>
          <w:b/>
        </w:rPr>
      </w:pPr>
      <w:r w:rsidRPr="00B279F1">
        <w:rPr>
          <w:rFonts w:ascii="Arial" w:hAnsi="Arial" w:cs="Arial"/>
        </w:rPr>
        <w:t>A copy of the Patient Information Sheet is enclosed, however for ease of reference the main side effects are listed below:</w:t>
      </w:r>
    </w:p>
    <w:p w14:paraId="10DE7A32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lastRenderedPageBreak/>
        <w:t>1. Immune system related adverse effects seen in &gt; 10% patients treated with nivolumab:</w:t>
      </w:r>
    </w:p>
    <w:p w14:paraId="42028A89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Itching</w:t>
      </w:r>
    </w:p>
    <w:p w14:paraId="76897059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Rash</w:t>
      </w:r>
    </w:p>
    <w:p w14:paraId="11A80A95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Diarrhoea</w:t>
      </w:r>
    </w:p>
    <w:p w14:paraId="76AAC088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2. Immune system related adverse effects seen in 5-10% patients treated with nivolumab:</w:t>
      </w:r>
    </w:p>
    <w:p w14:paraId="0FA90969" w14:textId="0B6DB74E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Hypothyroidism (reduction in activity of the thyroid gland)</w:t>
      </w:r>
      <w:r w:rsidR="0082494D">
        <w:rPr>
          <w:rFonts w:ascii="Arial" w:eastAsiaTheme="minorEastAsia" w:hAnsi="Arial" w:cs="Arial"/>
        </w:rPr>
        <w:t>. Symptoms include</w:t>
      </w:r>
      <w:r w:rsidRPr="00AE675C">
        <w:rPr>
          <w:rFonts w:ascii="Arial" w:eastAsiaTheme="minorEastAsia" w:hAnsi="Arial" w:cs="Arial"/>
        </w:rPr>
        <w:t xml:space="preserve"> tiredness and weight gain</w:t>
      </w:r>
    </w:p>
    <w:p w14:paraId="62DAB91D" w14:textId="59195C65" w:rsid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Abnormalities of liver tests. Very rarely patients can develop a yellow colour in the eyes or abdominal pain</w:t>
      </w:r>
    </w:p>
    <w:p w14:paraId="3CFA6A67" w14:textId="1A61626E" w:rsidR="003B5DDF" w:rsidRPr="003B5DDF" w:rsidRDefault="003B5DDF" w:rsidP="003B5DDF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Colitis (inflammation of the colon). Symptoms include diarrhoea</w:t>
      </w:r>
      <w:r>
        <w:rPr>
          <w:rFonts w:ascii="Arial" w:eastAsiaTheme="minorEastAsia" w:hAnsi="Arial" w:cs="Arial"/>
        </w:rPr>
        <w:t>,</w:t>
      </w:r>
      <w:r w:rsidR="000C2C9F">
        <w:rPr>
          <w:rFonts w:ascii="Arial" w:eastAsiaTheme="minorEastAsia" w:hAnsi="Arial" w:cs="Arial"/>
        </w:rPr>
        <w:t xml:space="preserve"> </w:t>
      </w:r>
      <w:r w:rsidRPr="00AE675C">
        <w:rPr>
          <w:rFonts w:ascii="Arial" w:eastAsiaTheme="minorEastAsia" w:hAnsi="Arial" w:cs="Arial"/>
        </w:rPr>
        <w:t>stomach</w:t>
      </w:r>
      <w:r>
        <w:rPr>
          <w:rFonts w:ascii="Arial" w:eastAsiaTheme="minorEastAsia" w:hAnsi="Arial" w:cs="Arial"/>
        </w:rPr>
        <w:t>/abdominal</w:t>
      </w:r>
      <w:r w:rsidRPr="00AE675C">
        <w:rPr>
          <w:rFonts w:ascii="Arial" w:eastAsiaTheme="minorEastAsia" w:hAnsi="Arial" w:cs="Arial"/>
        </w:rPr>
        <w:t xml:space="preserve"> pain</w:t>
      </w:r>
      <w:r>
        <w:rPr>
          <w:rFonts w:ascii="Arial" w:eastAsiaTheme="minorEastAsia" w:hAnsi="Arial" w:cs="Arial"/>
        </w:rPr>
        <w:t xml:space="preserve">, </w:t>
      </w:r>
      <w:r w:rsidRPr="000C2C9F">
        <w:rPr>
          <w:rFonts w:ascii="Arial" w:eastAsiaTheme="minorEastAsia" w:hAnsi="Arial" w:cs="Arial"/>
        </w:rPr>
        <w:t>cramping and blood in the stool.</w:t>
      </w:r>
      <w:r w:rsidR="00FE770C">
        <w:rPr>
          <w:rFonts w:ascii="Arial" w:eastAsiaTheme="minorEastAsia" w:hAnsi="Arial" w:cs="Arial"/>
        </w:rPr>
        <w:t xml:space="preserve"> Please note that studies have shown that nivolumab can rarely cause cytomegalo</w:t>
      </w:r>
      <w:r w:rsidR="0012405D">
        <w:rPr>
          <w:rFonts w:ascii="Arial" w:eastAsiaTheme="minorEastAsia" w:hAnsi="Arial" w:cs="Arial"/>
        </w:rPr>
        <w:t>virus (</w:t>
      </w:r>
      <w:r w:rsidR="00FE770C">
        <w:rPr>
          <w:rFonts w:ascii="Arial" w:eastAsiaTheme="minorEastAsia" w:hAnsi="Arial" w:cs="Arial"/>
        </w:rPr>
        <w:t>CMV</w:t>
      </w:r>
      <w:r w:rsidR="0012405D">
        <w:rPr>
          <w:rFonts w:ascii="Arial" w:eastAsiaTheme="minorEastAsia" w:hAnsi="Arial" w:cs="Arial"/>
        </w:rPr>
        <w:t>)</w:t>
      </w:r>
      <w:r w:rsidR="00FE770C">
        <w:rPr>
          <w:rFonts w:ascii="Arial" w:eastAsiaTheme="minorEastAsia" w:hAnsi="Arial" w:cs="Arial"/>
        </w:rPr>
        <w:t xml:space="preserve"> reactivation. </w:t>
      </w:r>
    </w:p>
    <w:p w14:paraId="7BFC81AC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3. Immune system related adverse effects seen in 1-5% of patients treated with nivolumab:</w:t>
      </w:r>
    </w:p>
    <w:p w14:paraId="21079228" w14:textId="77777777" w:rsidR="00AE675C" w:rsidRPr="00AE675C" w:rsidRDefault="00AE675C" w:rsidP="002303E7">
      <w:pPr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Hyperthyroidism (increase in activity of the thyroid gland). Symptoms include excessive tiredness, weight loss and palpitations.</w:t>
      </w:r>
    </w:p>
    <w:p w14:paraId="2C6AD3CD" w14:textId="6C3785ED" w:rsidR="002303E7" w:rsidRPr="00CF4B08" w:rsidRDefault="00AE675C" w:rsidP="000C2C9F">
      <w:pPr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Pneumonitis (inflammation of the lungs). Symptoms include shortness of breath and cough</w:t>
      </w:r>
    </w:p>
    <w:p w14:paraId="6CB4353E" w14:textId="6967E702" w:rsidR="00AE675C" w:rsidRPr="00AE675C" w:rsidRDefault="00AE675C" w:rsidP="000C2C9F">
      <w:pPr>
        <w:autoSpaceDE w:val="0"/>
        <w:autoSpaceDN w:val="0"/>
        <w:adjustRightInd w:val="0"/>
        <w:spacing w:before="24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Other reported side effects seen in 10% or more of patients given the drug are listed here:</w:t>
      </w:r>
    </w:p>
    <w:p w14:paraId="586B6E34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Fatigue (tiredness)</w:t>
      </w:r>
    </w:p>
    <w:p w14:paraId="2C6FA346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Nausea (sickness)</w:t>
      </w:r>
    </w:p>
    <w:p w14:paraId="51D77ADD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Decreased appetite</w:t>
      </w:r>
    </w:p>
    <w:p w14:paraId="5291403C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Weakness or lack of energy</w:t>
      </w:r>
    </w:p>
    <w:p w14:paraId="295A105F" w14:textId="77777777" w:rsidR="00AE675C" w:rsidRPr="00AE675C" w:rsidRDefault="00AE675C" w:rsidP="000C2C9F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 xml:space="preserve">Between 1-10% of patients treated with nivolumab experience an allergic reaction to the infusion. In rare cases (less than 1% of patients) these can be severe (anaphylactic reaction). </w:t>
      </w:r>
    </w:p>
    <w:p w14:paraId="59F35375" w14:textId="77777777" w:rsidR="00AB1DDA" w:rsidRDefault="00AB1DDA" w:rsidP="000C2C9F">
      <w:pPr>
        <w:spacing w:after="0" w:line="240" w:lineRule="auto"/>
        <w:jc w:val="both"/>
        <w:rPr>
          <w:rFonts w:ascii="Arial" w:hAnsi="Arial" w:cs="Arial"/>
          <w:b/>
        </w:rPr>
      </w:pPr>
    </w:p>
    <w:p w14:paraId="66D5A61D" w14:textId="77777777" w:rsidR="004D6E6B" w:rsidRDefault="004D6E6B" w:rsidP="00421E46">
      <w:pPr>
        <w:spacing w:after="0" w:line="240" w:lineRule="auto"/>
        <w:jc w:val="both"/>
        <w:rPr>
          <w:rFonts w:ascii="Arial" w:hAnsi="Arial" w:cs="Arial"/>
          <w:b/>
        </w:rPr>
      </w:pPr>
      <w:r w:rsidRPr="005D07A9">
        <w:rPr>
          <w:rFonts w:ascii="Arial" w:hAnsi="Arial" w:cs="Arial"/>
          <w:b/>
        </w:rPr>
        <w:t>Contraindicated medications</w:t>
      </w:r>
    </w:p>
    <w:p w14:paraId="3A723D6A" w14:textId="2ABD0B20" w:rsidR="005179C1" w:rsidRDefault="0091106B" w:rsidP="00AB1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</w:t>
      </w:r>
      <w:r w:rsidR="004D6E6B">
        <w:rPr>
          <w:rFonts w:ascii="Arial" w:hAnsi="Arial" w:cs="Arial"/>
        </w:rPr>
        <w:t xml:space="preserve"> medications/substances </w:t>
      </w:r>
      <w:r>
        <w:rPr>
          <w:rFonts w:ascii="Arial" w:hAnsi="Arial" w:cs="Arial"/>
        </w:rPr>
        <w:t>listed as</w:t>
      </w:r>
      <w:r w:rsidR="004D6E6B">
        <w:rPr>
          <w:rFonts w:ascii="Arial" w:hAnsi="Arial" w:cs="Arial"/>
        </w:rPr>
        <w:t xml:space="preserve"> contraindicat</w:t>
      </w:r>
      <w:r>
        <w:rPr>
          <w:rFonts w:ascii="Arial" w:hAnsi="Arial" w:cs="Arial"/>
        </w:rPr>
        <w:t>ions</w:t>
      </w:r>
      <w:r w:rsidR="004D6E6B">
        <w:rPr>
          <w:rFonts w:ascii="Arial" w:hAnsi="Arial" w:cs="Arial"/>
        </w:rPr>
        <w:t xml:space="preserve"> for use with </w:t>
      </w:r>
      <w:r w:rsidRPr="0091106B">
        <w:rPr>
          <w:rFonts w:ascii="Arial" w:hAnsi="Arial" w:cs="Arial"/>
        </w:rPr>
        <w:t>nivolumab</w:t>
      </w:r>
      <w:r>
        <w:rPr>
          <w:rFonts w:ascii="Arial" w:hAnsi="Arial" w:cs="Arial"/>
          <w:color w:val="FF0000"/>
        </w:rPr>
        <w:t xml:space="preserve"> </w:t>
      </w:r>
      <w:r w:rsidR="004D6E6B" w:rsidRPr="004505D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so there are no restrictions on what can</w:t>
      </w:r>
      <w:r w:rsidR="004D6E6B" w:rsidRPr="004505DE">
        <w:rPr>
          <w:rFonts w:ascii="Arial" w:hAnsi="Arial" w:cs="Arial"/>
        </w:rPr>
        <w:t xml:space="preserve"> be prescribed</w:t>
      </w:r>
      <w:r w:rsidR="004D6E6B">
        <w:rPr>
          <w:rFonts w:ascii="Arial" w:hAnsi="Arial" w:cs="Arial"/>
        </w:rPr>
        <w:t xml:space="preserve"> wh</w:t>
      </w:r>
      <w:r>
        <w:rPr>
          <w:rFonts w:ascii="Arial" w:hAnsi="Arial" w:cs="Arial"/>
        </w:rPr>
        <w:t>ile the patient is on the trial.</w:t>
      </w:r>
    </w:p>
    <w:p w14:paraId="4BAAEE6A" w14:textId="409599AE" w:rsidR="005179C1" w:rsidRDefault="005179C1" w:rsidP="00AB1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during nivolumab treatment, patients cannot receive steroids in excess of a dose of 10mg/day prednisolone (or the equivalent dose of other steroids). If you have cause to prescribe the patient steroids during their trial treatment, please first consult their study doctor.</w:t>
      </w:r>
    </w:p>
    <w:p w14:paraId="542A30FB" w14:textId="77777777" w:rsidR="00421E46" w:rsidRPr="00B01CCA" w:rsidRDefault="00421E46" w:rsidP="00AB1DDA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14:paraId="072EE53D" w14:textId="77777777" w:rsidR="00D90519" w:rsidRPr="00B01CCA" w:rsidRDefault="004A23D5" w:rsidP="00B279F1">
      <w:pPr>
        <w:spacing w:after="0" w:line="240" w:lineRule="auto"/>
        <w:jc w:val="both"/>
        <w:rPr>
          <w:rFonts w:ascii="Arial" w:hAnsi="Arial" w:cs="Arial"/>
          <w:b/>
        </w:rPr>
      </w:pPr>
      <w:r w:rsidRPr="004A23D5">
        <w:rPr>
          <w:rFonts w:ascii="Arial" w:hAnsi="Arial" w:cs="Arial"/>
          <w:b/>
        </w:rPr>
        <w:t>Pregnancy and contraception</w:t>
      </w:r>
    </w:p>
    <w:p w14:paraId="2D1D179F" w14:textId="46357C35" w:rsidR="00C221EE" w:rsidRPr="009E7867" w:rsidRDefault="00A452F2" w:rsidP="00B279F1">
      <w:pPr>
        <w:spacing w:line="240" w:lineRule="auto"/>
        <w:jc w:val="both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</w:rPr>
        <w:t xml:space="preserve">For pregnancy </w:t>
      </w:r>
      <w:r w:rsidR="0091106B" w:rsidRPr="0091106B">
        <w:rPr>
          <w:rFonts w:ascii="Arial" w:hAnsi="Arial" w:cs="Arial"/>
        </w:rPr>
        <w:t xml:space="preserve">and contraceptive </w:t>
      </w:r>
      <w:r>
        <w:rPr>
          <w:rFonts w:ascii="Arial" w:hAnsi="Arial" w:cs="Arial"/>
        </w:rPr>
        <w:t>advice</w:t>
      </w:r>
      <w:r w:rsidR="005179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see the attached patient information sheet</w:t>
      </w:r>
      <w:r w:rsidR="005179C1">
        <w:rPr>
          <w:rFonts w:ascii="Arial" w:hAnsi="Arial" w:cs="Arial"/>
        </w:rPr>
        <w:t>.</w:t>
      </w:r>
      <w:r w:rsidR="001E4F78">
        <w:rPr>
          <w:rFonts w:ascii="Arial" w:hAnsi="Arial" w:cs="Arial"/>
        </w:rPr>
        <w:t xml:space="preserve"> </w:t>
      </w:r>
    </w:p>
    <w:p w14:paraId="50200D05" w14:textId="316095B4" w:rsidR="00F56BC5" w:rsidRDefault="005179C1" w:rsidP="000C2C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collecting details of pregnancies in female trial patients and partners of male trial patients that occur during the pregnancy risk window stated by the manufacturer of nivolumab. </w:t>
      </w:r>
      <w:r w:rsidR="009E7867">
        <w:rPr>
          <w:rFonts w:ascii="Arial" w:hAnsi="Arial" w:cs="Arial"/>
        </w:rPr>
        <w:t xml:space="preserve">If </w:t>
      </w:r>
      <w:r w:rsidR="00A452F2">
        <w:rPr>
          <w:rFonts w:ascii="Arial" w:hAnsi="Arial" w:cs="Arial"/>
        </w:rPr>
        <w:t xml:space="preserve">you are informed of </w:t>
      </w:r>
      <w:r w:rsidR="009E7867">
        <w:rPr>
          <w:rFonts w:ascii="Arial" w:hAnsi="Arial" w:cs="Arial"/>
        </w:rPr>
        <w:t xml:space="preserve">a pregnancy </w:t>
      </w:r>
      <w:r w:rsidR="00A452F2">
        <w:rPr>
          <w:rFonts w:ascii="Arial" w:hAnsi="Arial" w:cs="Arial"/>
        </w:rPr>
        <w:t>occurring</w:t>
      </w:r>
      <w:r w:rsidR="009E7867">
        <w:rPr>
          <w:rFonts w:ascii="Arial" w:hAnsi="Arial" w:cs="Arial"/>
        </w:rPr>
        <w:t xml:space="preserve"> in female patient</w:t>
      </w:r>
      <w:r>
        <w:rPr>
          <w:rFonts w:ascii="Arial" w:hAnsi="Arial" w:cs="Arial"/>
        </w:rPr>
        <w:t xml:space="preserve"> during treatment or within 6 months of completing trial treatment</w:t>
      </w:r>
      <w:r w:rsidR="00F1482D">
        <w:rPr>
          <w:rFonts w:ascii="Arial" w:hAnsi="Arial" w:cs="Arial"/>
        </w:rPr>
        <w:t>,</w:t>
      </w:r>
      <w:r w:rsidR="009E7867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in the </w:t>
      </w:r>
      <w:r w:rsidR="009E7867">
        <w:rPr>
          <w:rFonts w:ascii="Arial" w:hAnsi="Arial" w:cs="Arial"/>
        </w:rPr>
        <w:t>partner of a male</w:t>
      </w:r>
      <w:r>
        <w:rPr>
          <w:rFonts w:ascii="Arial" w:hAnsi="Arial" w:cs="Arial"/>
        </w:rPr>
        <w:t xml:space="preserve"> trial</w:t>
      </w:r>
      <w:r w:rsidR="009E7867">
        <w:rPr>
          <w:rFonts w:ascii="Arial" w:hAnsi="Arial" w:cs="Arial"/>
        </w:rPr>
        <w:t xml:space="preserve"> patient</w:t>
      </w:r>
      <w:r>
        <w:rPr>
          <w:rFonts w:ascii="Arial" w:hAnsi="Arial" w:cs="Arial"/>
        </w:rPr>
        <w:t xml:space="preserve"> during their trial treatment or within 8 months of completing trial treatment</w:t>
      </w:r>
      <w:r w:rsidR="00F1482D">
        <w:rPr>
          <w:rFonts w:ascii="Arial" w:hAnsi="Arial" w:cs="Arial"/>
        </w:rPr>
        <w:t>,</w:t>
      </w:r>
      <w:r w:rsidR="009E7867">
        <w:rPr>
          <w:rFonts w:ascii="Arial" w:hAnsi="Arial" w:cs="Arial"/>
        </w:rPr>
        <w:t xml:space="preserve"> </w:t>
      </w:r>
      <w:r w:rsidR="00A452F2">
        <w:rPr>
          <w:rFonts w:ascii="Arial" w:hAnsi="Arial" w:cs="Arial"/>
        </w:rPr>
        <w:t xml:space="preserve">please notify </w:t>
      </w:r>
      <w:r w:rsidR="009E7867">
        <w:rPr>
          <w:rFonts w:ascii="Arial" w:hAnsi="Arial" w:cs="Arial"/>
        </w:rPr>
        <w:t xml:space="preserve">the </w:t>
      </w:r>
      <w:r w:rsidR="00BC41D7">
        <w:rPr>
          <w:rFonts w:ascii="Arial" w:hAnsi="Arial" w:cs="Arial"/>
        </w:rPr>
        <w:t>patient’s trial doctor or research nurse</w:t>
      </w:r>
      <w:r w:rsidR="009E7867">
        <w:rPr>
          <w:rFonts w:ascii="Arial" w:hAnsi="Arial" w:cs="Arial"/>
        </w:rPr>
        <w:t xml:space="preserve"> immediately.</w:t>
      </w:r>
    </w:p>
    <w:p w14:paraId="561C627A" w14:textId="77777777" w:rsidR="00F45B24" w:rsidRDefault="00F45B24" w:rsidP="00B279F1">
      <w:pPr>
        <w:spacing w:after="0" w:line="240" w:lineRule="auto"/>
        <w:jc w:val="both"/>
        <w:rPr>
          <w:rFonts w:ascii="Arial" w:hAnsi="Arial" w:cs="Arial"/>
          <w:b/>
        </w:rPr>
      </w:pPr>
    </w:p>
    <w:p w14:paraId="78A065FC" w14:textId="65ADC2F0" w:rsidR="004A23D5" w:rsidRDefault="005D07A9" w:rsidP="00B279F1">
      <w:pPr>
        <w:spacing w:after="0" w:line="240" w:lineRule="auto"/>
        <w:jc w:val="both"/>
        <w:rPr>
          <w:rFonts w:ascii="Arial" w:hAnsi="Arial" w:cs="Arial"/>
          <w:b/>
        </w:rPr>
      </w:pPr>
      <w:r w:rsidRPr="005D07A9">
        <w:rPr>
          <w:rFonts w:ascii="Arial" w:hAnsi="Arial" w:cs="Arial"/>
          <w:b/>
        </w:rPr>
        <w:t>Data protection</w:t>
      </w:r>
    </w:p>
    <w:p w14:paraId="3C756756" w14:textId="1FBB0CD9" w:rsidR="00093DE1" w:rsidRDefault="00212E6C" w:rsidP="00B279F1">
      <w:pPr>
        <w:spacing w:line="240" w:lineRule="auto"/>
        <w:jc w:val="both"/>
        <w:rPr>
          <w:rFonts w:ascii="Arial" w:hAnsi="Arial" w:cs="Arial"/>
        </w:rPr>
      </w:pPr>
      <w:r w:rsidRPr="00212E6C">
        <w:rPr>
          <w:rFonts w:ascii="Arial" w:hAnsi="Arial" w:cs="Arial"/>
        </w:rPr>
        <w:t>Your patient will be followed up for</w:t>
      </w:r>
      <w:r w:rsidR="005179C1">
        <w:rPr>
          <w:rFonts w:ascii="Arial" w:hAnsi="Arial" w:cs="Arial"/>
        </w:rPr>
        <w:t xml:space="preserve"> a minimum of</w:t>
      </w:r>
      <w:r w:rsidRPr="00212E6C">
        <w:rPr>
          <w:rFonts w:ascii="Arial" w:hAnsi="Arial" w:cs="Arial"/>
        </w:rPr>
        <w:t xml:space="preserve"> </w:t>
      </w:r>
      <w:r w:rsidR="00136BDE" w:rsidRPr="00136BDE">
        <w:rPr>
          <w:rFonts w:ascii="Arial" w:hAnsi="Arial" w:cs="Arial"/>
        </w:rPr>
        <w:t>3 years</w:t>
      </w:r>
      <w:r w:rsidRPr="00136BDE">
        <w:rPr>
          <w:rFonts w:ascii="Arial" w:hAnsi="Arial" w:cs="Arial"/>
        </w:rPr>
        <w:t xml:space="preserve"> </w:t>
      </w:r>
      <w:r w:rsidR="005179C1">
        <w:rPr>
          <w:rFonts w:ascii="Arial" w:hAnsi="Arial" w:cs="Arial"/>
        </w:rPr>
        <w:t>after</w:t>
      </w:r>
      <w:r w:rsidR="005179C1" w:rsidRPr="00212E6C">
        <w:rPr>
          <w:rFonts w:ascii="Arial" w:hAnsi="Arial" w:cs="Arial"/>
        </w:rPr>
        <w:t xml:space="preserve"> </w:t>
      </w:r>
      <w:r w:rsidRPr="00212E6C">
        <w:rPr>
          <w:rFonts w:ascii="Arial" w:hAnsi="Arial" w:cs="Arial"/>
        </w:rPr>
        <w:t xml:space="preserve">completion of treatment </w:t>
      </w:r>
      <w:r w:rsidR="00136BDE" w:rsidRPr="00136BDE">
        <w:rPr>
          <w:rFonts w:ascii="Arial" w:hAnsi="Arial" w:cs="Arial"/>
        </w:rPr>
        <w:t>including if</w:t>
      </w:r>
      <w:r w:rsidRPr="00136BDE">
        <w:rPr>
          <w:rFonts w:ascii="Arial" w:hAnsi="Arial" w:cs="Arial"/>
        </w:rPr>
        <w:t xml:space="preserve"> </w:t>
      </w:r>
      <w:r w:rsidR="00136BDE" w:rsidRPr="00136BDE">
        <w:rPr>
          <w:rFonts w:ascii="Arial" w:hAnsi="Arial" w:cs="Arial"/>
        </w:rPr>
        <w:t xml:space="preserve">they experience </w:t>
      </w:r>
      <w:r w:rsidRPr="00136BDE">
        <w:rPr>
          <w:rFonts w:ascii="Arial" w:hAnsi="Arial" w:cs="Arial"/>
        </w:rPr>
        <w:t>disease progression</w:t>
      </w:r>
      <w:r w:rsidR="00896D4E" w:rsidRPr="00136BDE">
        <w:rPr>
          <w:rFonts w:ascii="Arial" w:hAnsi="Arial" w:cs="Arial"/>
        </w:rPr>
        <w:t>/relapse</w:t>
      </w:r>
      <w:r w:rsidRPr="00136BDE">
        <w:rPr>
          <w:rFonts w:ascii="Arial" w:hAnsi="Arial" w:cs="Arial"/>
        </w:rPr>
        <w:t xml:space="preserve">, and you will be kept informed of their </w:t>
      </w:r>
      <w:r w:rsidRPr="00212E6C">
        <w:rPr>
          <w:rFonts w:ascii="Arial" w:hAnsi="Arial" w:cs="Arial"/>
        </w:rPr>
        <w:t>progress.</w:t>
      </w:r>
      <w:r w:rsidR="00BE5475">
        <w:rPr>
          <w:rFonts w:ascii="Arial" w:hAnsi="Arial" w:cs="Arial"/>
        </w:rPr>
        <w:t xml:space="preserve"> Should </w:t>
      </w:r>
      <w:r w:rsidR="005179C1">
        <w:rPr>
          <w:rFonts w:ascii="Arial" w:hAnsi="Arial" w:cs="Arial"/>
        </w:rPr>
        <w:t xml:space="preserve">your </w:t>
      </w:r>
      <w:r w:rsidR="00BE5475">
        <w:rPr>
          <w:rFonts w:ascii="Arial" w:hAnsi="Arial" w:cs="Arial"/>
        </w:rPr>
        <w:t>patient fail to attend hospital clinic appointments</w:t>
      </w:r>
      <w:r w:rsidR="00896D4E">
        <w:rPr>
          <w:rFonts w:ascii="Arial" w:hAnsi="Arial" w:cs="Arial"/>
        </w:rPr>
        <w:t xml:space="preserve"> </w:t>
      </w:r>
      <w:r w:rsidR="00BE5475">
        <w:rPr>
          <w:rFonts w:ascii="Arial" w:hAnsi="Arial" w:cs="Arial"/>
        </w:rPr>
        <w:t>y</w:t>
      </w:r>
      <w:r w:rsidR="00896D4E">
        <w:rPr>
          <w:rFonts w:ascii="Arial" w:hAnsi="Arial" w:cs="Arial"/>
        </w:rPr>
        <w:t>ou may be contacted for information</w:t>
      </w:r>
      <w:r w:rsidR="000A716D">
        <w:rPr>
          <w:rFonts w:ascii="Arial" w:hAnsi="Arial" w:cs="Arial"/>
        </w:rPr>
        <w:t xml:space="preserve"> on their current health status</w:t>
      </w:r>
      <w:r w:rsidR="00136BDE">
        <w:rPr>
          <w:rFonts w:ascii="Arial" w:hAnsi="Arial" w:cs="Arial"/>
        </w:rPr>
        <w:t xml:space="preserve">. </w:t>
      </w:r>
    </w:p>
    <w:p w14:paraId="7F0A3291" w14:textId="77777777" w:rsidR="00AD1760" w:rsidRDefault="00675E23" w:rsidP="00B279F1">
      <w:pPr>
        <w:pStyle w:val="Normal1"/>
        <w:spacing w:line="240" w:lineRule="auto"/>
      </w:pPr>
      <w:r>
        <w:t>Should you have any questions concern</w:t>
      </w:r>
      <w:r w:rsidR="00B928AF">
        <w:t>ing the patient’s participation or</w:t>
      </w:r>
      <w:r>
        <w:t xml:space="preserve"> </w:t>
      </w:r>
      <w:r w:rsidR="00B928AF">
        <w:t>their treatment</w:t>
      </w:r>
      <w:r w:rsidR="00BF55E9">
        <w:t xml:space="preserve">, </w:t>
      </w:r>
      <w:r>
        <w:t xml:space="preserve">please contact myself or one of the </w:t>
      </w:r>
      <w:r>
        <w:rPr>
          <w:b/>
          <w:bCs/>
        </w:rPr>
        <w:t>Research Nurses</w:t>
      </w:r>
      <w:r>
        <w:t xml:space="preserve"> on</w:t>
      </w:r>
      <w:r w:rsidR="00AD1760">
        <w:t>:</w:t>
      </w:r>
    </w:p>
    <w:p w14:paraId="4542ED32" w14:textId="7945E4C7" w:rsidR="00B928AF" w:rsidRDefault="00B928AF" w:rsidP="00B279F1">
      <w:pPr>
        <w:pStyle w:val="Normal1"/>
        <w:spacing w:line="240" w:lineRule="auto"/>
      </w:pPr>
    </w:p>
    <w:p w14:paraId="6432E08B" w14:textId="1AE5A1CF" w:rsidR="00F45B24" w:rsidRDefault="00F45B24" w:rsidP="00F45B24">
      <w:pPr>
        <w:pStyle w:val="Normal1"/>
        <w:spacing w:line="240" w:lineRule="auto"/>
      </w:pPr>
      <w:r>
        <w:t>Consultant</w:t>
      </w:r>
      <w:r w:rsidR="00724EF6">
        <w:t>:</w:t>
      </w:r>
      <w:r>
        <w:t xml:space="preserve"> </w:t>
      </w:r>
    </w:p>
    <w:p w14:paraId="4C22E0E9" w14:textId="38EEDF3F" w:rsidR="009708E1" w:rsidRDefault="009708E1" w:rsidP="009708E1">
      <w:pPr>
        <w:pStyle w:val="Normal1"/>
        <w:spacing w:line="240" w:lineRule="auto"/>
      </w:pPr>
    </w:p>
    <w:p w14:paraId="711B21DC" w14:textId="77777777" w:rsidR="009708E1" w:rsidRPr="009708E1" w:rsidRDefault="009708E1" w:rsidP="009708E1">
      <w:pPr>
        <w:pStyle w:val="Normal1"/>
        <w:spacing w:line="240" w:lineRule="auto"/>
      </w:pPr>
      <w:r>
        <w:rPr>
          <w:b/>
        </w:rPr>
        <w:t xml:space="preserve">Name </w:t>
      </w:r>
      <w:r>
        <w:rPr>
          <w:b/>
          <w:bCs/>
        </w:rPr>
        <w:t>........................................................…………</w:t>
      </w:r>
    </w:p>
    <w:p w14:paraId="2EFDBACC" w14:textId="77777777" w:rsidR="009708E1" w:rsidRDefault="009708E1" w:rsidP="00B279F1">
      <w:pPr>
        <w:pStyle w:val="Normal1"/>
        <w:spacing w:line="240" w:lineRule="auto"/>
        <w:rPr>
          <w:b/>
          <w:bCs/>
        </w:rPr>
      </w:pPr>
    </w:p>
    <w:p w14:paraId="33926F35" w14:textId="3EF74423" w:rsidR="00675E23" w:rsidRDefault="00675E23" w:rsidP="00B279F1">
      <w:pPr>
        <w:pStyle w:val="Normal1"/>
        <w:spacing w:line="240" w:lineRule="auto"/>
        <w:rPr>
          <w:b/>
          <w:bCs/>
        </w:rPr>
      </w:pPr>
      <w:r>
        <w:rPr>
          <w:b/>
          <w:bCs/>
        </w:rPr>
        <w:t xml:space="preserve">Tel </w:t>
      </w:r>
      <w:r w:rsidR="00B928AF">
        <w:rPr>
          <w:b/>
          <w:bCs/>
        </w:rPr>
        <w:t>........................................................</w:t>
      </w:r>
      <w:r>
        <w:rPr>
          <w:b/>
          <w:bCs/>
        </w:rPr>
        <w:t>…………</w:t>
      </w:r>
      <w:r>
        <w:t xml:space="preserve"> or bleep </w:t>
      </w:r>
      <w:r w:rsidR="00B928AF">
        <w:rPr>
          <w:b/>
          <w:bCs/>
        </w:rPr>
        <w:t>..................................................</w:t>
      </w:r>
    </w:p>
    <w:p w14:paraId="4AF377C0" w14:textId="64D001E5" w:rsidR="00F45B24" w:rsidRDefault="00F45B24" w:rsidP="00B279F1">
      <w:pPr>
        <w:pStyle w:val="Normal1"/>
        <w:spacing w:line="240" w:lineRule="auto"/>
      </w:pPr>
    </w:p>
    <w:p w14:paraId="193B6B46" w14:textId="767D4016" w:rsidR="00F45B24" w:rsidRDefault="00F45B24" w:rsidP="00F45B24">
      <w:pPr>
        <w:pStyle w:val="Normal1"/>
        <w:spacing w:line="240" w:lineRule="auto"/>
      </w:pPr>
      <w:r>
        <w:t>Research Nurse</w:t>
      </w:r>
      <w:r w:rsidR="00724EF6">
        <w:t>:</w:t>
      </w:r>
    </w:p>
    <w:p w14:paraId="24E5820F" w14:textId="4B2F1ED1" w:rsidR="00F45B24" w:rsidRDefault="00F45B24" w:rsidP="00B279F1">
      <w:pPr>
        <w:pStyle w:val="Normal1"/>
        <w:spacing w:line="240" w:lineRule="auto"/>
      </w:pPr>
    </w:p>
    <w:p w14:paraId="69BE0447" w14:textId="2E599BCE" w:rsidR="009708E1" w:rsidRPr="009708E1" w:rsidRDefault="009708E1" w:rsidP="00B279F1">
      <w:pPr>
        <w:pStyle w:val="Normal1"/>
        <w:spacing w:line="240" w:lineRule="auto"/>
      </w:pPr>
      <w:r>
        <w:rPr>
          <w:b/>
        </w:rPr>
        <w:t xml:space="preserve">Name </w:t>
      </w:r>
      <w:r>
        <w:rPr>
          <w:b/>
          <w:bCs/>
        </w:rPr>
        <w:t>........................................................…………</w:t>
      </w:r>
    </w:p>
    <w:p w14:paraId="137002FB" w14:textId="77777777" w:rsidR="009708E1" w:rsidRDefault="009708E1" w:rsidP="00B279F1">
      <w:pPr>
        <w:pStyle w:val="Normal1"/>
        <w:spacing w:line="240" w:lineRule="auto"/>
      </w:pPr>
    </w:p>
    <w:p w14:paraId="6D03092C" w14:textId="77777777" w:rsidR="00AD1760" w:rsidRDefault="00AD1760" w:rsidP="00B279F1">
      <w:pPr>
        <w:pStyle w:val="Normal1"/>
        <w:spacing w:line="240" w:lineRule="auto"/>
        <w:rPr>
          <w:b/>
          <w:bCs/>
        </w:rPr>
      </w:pPr>
      <w:r>
        <w:rPr>
          <w:b/>
          <w:bCs/>
        </w:rPr>
        <w:t>Tel ........................................................…………</w:t>
      </w:r>
      <w:r>
        <w:t xml:space="preserve"> or bleep </w:t>
      </w:r>
      <w:r>
        <w:rPr>
          <w:b/>
          <w:bCs/>
        </w:rPr>
        <w:t>..................................................</w:t>
      </w:r>
    </w:p>
    <w:p w14:paraId="2883DDA3" w14:textId="77777777" w:rsidR="00AD1760" w:rsidRDefault="00AD1760" w:rsidP="00B279F1">
      <w:pPr>
        <w:pStyle w:val="Normal1"/>
        <w:spacing w:after="0" w:line="240" w:lineRule="auto"/>
      </w:pPr>
    </w:p>
    <w:p w14:paraId="362E58A5" w14:textId="77777777" w:rsidR="00BC41D7" w:rsidRDefault="00BC41D7" w:rsidP="00B279F1">
      <w:pPr>
        <w:pStyle w:val="Normal1"/>
        <w:spacing w:line="240" w:lineRule="auto"/>
      </w:pPr>
    </w:p>
    <w:p w14:paraId="2B0B8F4E" w14:textId="77777777" w:rsidR="00BC41D7" w:rsidRDefault="00BC41D7" w:rsidP="00B279F1">
      <w:pPr>
        <w:pStyle w:val="Normal1"/>
        <w:spacing w:line="240" w:lineRule="auto"/>
      </w:pPr>
      <w:r>
        <w:t>Please ensure that a copy of this letter is kept in the patient’s file at your practice and that the patient is flagged as taking part in a clinical trial.</w:t>
      </w:r>
    </w:p>
    <w:p w14:paraId="7585633F" w14:textId="77777777" w:rsidR="00BC41D7" w:rsidRDefault="00BC41D7" w:rsidP="00B279F1">
      <w:pPr>
        <w:pStyle w:val="Normal1"/>
        <w:spacing w:line="240" w:lineRule="auto"/>
      </w:pPr>
    </w:p>
    <w:p w14:paraId="193D65C5" w14:textId="77777777" w:rsidR="00E65845" w:rsidRDefault="00E65845" w:rsidP="00B279F1">
      <w:pPr>
        <w:pStyle w:val="Normal1"/>
        <w:spacing w:line="240" w:lineRule="auto"/>
      </w:pPr>
      <w:r>
        <w:t>Yours sincerely,</w:t>
      </w:r>
    </w:p>
    <w:p w14:paraId="6375F009" w14:textId="5DE3B8AD" w:rsidR="00BC41D7" w:rsidRDefault="00BC41D7" w:rsidP="00B279F1">
      <w:pPr>
        <w:pStyle w:val="Normal1"/>
        <w:spacing w:line="240" w:lineRule="auto"/>
      </w:pPr>
    </w:p>
    <w:p w14:paraId="04309C4B" w14:textId="77777777" w:rsidR="0039060B" w:rsidRDefault="0039060B" w:rsidP="00B279F1">
      <w:pPr>
        <w:pStyle w:val="Normal1"/>
        <w:spacing w:line="240" w:lineRule="auto"/>
      </w:pPr>
    </w:p>
    <w:p w14:paraId="3E866F53" w14:textId="77777777" w:rsidR="00BC41D7" w:rsidRDefault="00BC41D7" w:rsidP="00B279F1">
      <w:pPr>
        <w:pStyle w:val="Normal1"/>
        <w:spacing w:line="240" w:lineRule="auto"/>
      </w:pPr>
    </w:p>
    <w:p w14:paraId="466985C3" w14:textId="77777777" w:rsidR="00AD1760" w:rsidRDefault="00E65845" w:rsidP="00B279F1">
      <w:pPr>
        <w:pStyle w:val="Normal1"/>
        <w:spacing w:line="240" w:lineRule="auto"/>
      </w:pPr>
      <w:r>
        <w:t>[</w:t>
      </w:r>
      <w:r w:rsidR="00BC41D7">
        <w:t xml:space="preserve">Signed by </w:t>
      </w:r>
      <w:r w:rsidR="00953E59">
        <w:t>Investigator at site</w:t>
      </w:r>
      <w:r>
        <w:t>]</w:t>
      </w:r>
    </w:p>
    <w:p w14:paraId="593D7609" w14:textId="3EBB0B1F" w:rsidR="00E65845" w:rsidRDefault="00E65845" w:rsidP="00B279F1">
      <w:pPr>
        <w:pStyle w:val="Normal1"/>
        <w:spacing w:line="240" w:lineRule="auto"/>
      </w:pPr>
      <w:r>
        <w:t>[insert Investigators name and position</w:t>
      </w:r>
      <w:r w:rsidR="009708E1">
        <w:t>]</w:t>
      </w:r>
    </w:p>
    <w:p w14:paraId="25E61C33" w14:textId="77777777" w:rsidR="00E65845" w:rsidRDefault="00E65845" w:rsidP="00B279F1">
      <w:pPr>
        <w:pStyle w:val="Normal1"/>
        <w:spacing w:line="240" w:lineRule="auto"/>
      </w:pPr>
    </w:p>
    <w:p w14:paraId="07D49DB5" w14:textId="77777777" w:rsidR="00675E23" w:rsidRDefault="00675E23" w:rsidP="00B279F1">
      <w:pPr>
        <w:pStyle w:val="Normal1"/>
        <w:spacing w:line="240" w:lineRule="auto"/>
      </w:pPr>
      <w:r>
        <w:t>Enc.</w:t>
      </w:r>
      <w:r>
        <w:tab/>
        <w:t xml:space="preserve">Patient Information </w:t>
      </w:r>
      <w:r w:rsidR="00AD1760">
        <w:t>Sheet</w:t>
      </w:r>
      <w:r>
        <w:t xml:space="preserve"> </w:t>
      </w:r>
    </w:p>
    <w:p w14:paraId="02B2DFAE" w14:textId="77777777" w:rsidR="00F56BC5" w:rsidRPr="005D07A9" w:rsidRDefault="00F56BC5" w:rsidP="00D90519">
      <w:pPr>
        <w:spacing w:line="240" w:lineRule="auto"/>
        <w:rPr>
          <w:rFonts w:ascii="Arial" w:hAnsi="Arial" w:cs="Arial"/>
          <w:b/>
        </w:rPr>
      </w:pPr>
    </w:p>
    <w:sectPr w:rsidR="00F56BC5" w:rsidRPr="005D07A9" w:rsidSect="00F25480">
      <w:footerReference w:type="default" r:id="rId7"/>
      <w:pgSz w:w="11906" w:h="16838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88AF" w14:textId="77777777" w:rsidR="005A68FD" w:rsidRDefault="005A68FD" w:rsidP="00F866BD">
      <w:pPr>
        <w:spacing w:after="0" w:line="240" w:lineRule="auto"/>
      </w:pPr>
      <w:r>
        <w:separator/>
      </w:r>
    </w:p>
  </w:endnote>
  <w:endnote w:type="continuationSeparator" w:id="0">
    <w:p w14:paraId="34E5C171" w14:textId="77777777" w:rsidR="005A68FD" w:rsidRDefault="005A68FD" w:rsidP="00F8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A961" w14:textId="77777777" w:rsidR="00BC41D7" w:rsidRDefault="00BC41D7">
    <w:pPr>
      <w:pStyle w:val="Footer"/>
      <w:rPr>
        <w:rFonts w:ascii="Arial" w:hAnsi="Arial" w:cs="Arial"/>
        <w:sz w:val="20"/>
      </w:rPr>
    </w:pPr>
  </w:p>
  <w:p w14:paraId="507CEA3E" w14:textId="12A73A3A" w:rsidR="00804354" w:rsidRPr="00635399" w:rsidRDefault="00804354" w:rsidP="00804354">
    <w:pPr>
      <w:pStyle w:val="Footer"/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modified for</w:t>
    </w:r>
    <w:r>
      <w:rPr>
        <w:rFonts w:ascii="Arial" w:hAnsi="Arial" w:cs="Arial"/>
        <w:color w:val="FF0000"/>
        <w:sz w:val="18"/>
        <w:szCs w:val="18"/>
      </w:rPr>
      <w:t xml:space="preserve"> </w:t>
    </w:r>
    <w:r w:rsidR="00635399" w:rsidRPr="00635399">
      <w:rPr>
        <w:rFonts w:ascii="Arial" w:hAnsi="Arial" w:cs="Arial"/>
        <w:sz w:val="18"/>
        <w:szCs w:val="18"/>
      </w:rPr>
      <w:t>ANIMATE</w:t>
    </w:r>
    <w:r w:rsidRPr="00635399">
      <w:rPr>
        <w:rFonts w:ascii="Arial" w:hAnsi="Arial" w:cs="Arial"/>
        <w:sz w:val="18"/>
        <w:szCs w:val="18"/>
      </w:rPr>
      <w:t xml:space="preserve"> on </w:t>
    </w:r>
    <w:r w:rsidR="002F44C1">
      <w:rPr>
        <w:rFonts w:ascii="Arial" w:hAnsi="Arial" w:cs="Arial"/>
        <w:sz w:val="18"/>
        <w:szCs w:val="18"/>
      </w:rPr>
      <w:t>10.12.2019 version 2</w:t>
    </w:r>
  </w:p>
  <w:p w14:paraId="63333E0A" w14:textId="77777777" w:rsidR="00BC41D7" w:rsidRPr="00B97C54" w:rsidRDefault="00BC41D7" w:rsidP="00F866BD">
    <w:pPr>
      <w:pStyle w:val="Footer"/>
      <w:spacing w:after="0" w:line="240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GP</w:t>
    </w:r>
    <w:r w:rsidR="00421E46">
      <w:rPr>
        <w:rFonts w:ascii="Arial" w:hAnsi="Arial" w:cs="Arial"/>
        <w:sz w:val="18"/>
      </w:rPr>
      <w:t xml:space="preserve"> </w:t>
    </w:r>
    <w:r w:rsidR="001E4F78">
      <w:rPr>
        <w:rFonts w:ascii="Arial" w:hAnsi="Arial" w:cs="Arial"/>
        <w:sz w:val="18"/>
      </w:rPr>
      <w:t>L</w:t>
    </w:r>
    <w:r>
      <w:rPr>
        <w:rFonts w:ascii="Arial" w:hAnsi="Arial" w:cs="Arial"/>
        <w:sz w:val="18"/>
      </w:rPr>
      <w:t xml:space="preserve">etter </w:t>
    </w:r>
    <w:r w:rsidR="00AE0C9B">
      <w:rPr>
        <w:rFonts w:ascii="Arial" w:hAnsi="Arial" w:cs="Arial"/>
        <w:sz w:val="18"/>
      </w:rPr>
      <w:t xml:space="preserve">- </w:t>
    </w:r>
    <w:r w:rsidR="001E4F78">
      <w:rPr>
        <w:rFonts w:ascii="Arial" w:hAnsi="Arial" w:cs="Arial"/>
        <w:sz w:val="18"/>
      </w:rPr>
      <w:t>V</w:t>
    </w:r>
    <w:r>
      <w:rPr>
        <w:rFonts w:ascii="Arial" w:hAnsi="Arial" w:cs="Arial"/>
        <w:sz w:val="18"/>
      </w:rPr>
      <w:t xml:space="preserve">ersion </w:t>
    </w:r>
    <w:r w:rsidR="001E4F78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</w:t>
    </w:r>
    <w:r w:rsidR="00A75508">
      <w:rPr>
        <w:rFonts w:ascii="Arial" w:hAnsi="Arial" w:cs="Arial"/>
        <w:sz w:val="18"/>
      </w:rPr>
      <w:t xml:space="preserve">FINAL 16/03/16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603F7" w14:textId="77777777" w:rsidR="005A68FD" w:rsidRDefault="005A68FD" w:rsidP="00F866BD">
      <w:pPr>
        <w:spacing w:after="0" w:line="240" w:lineRule="auto"/>
      </w:pPr>
      <w:r>
        <w:separator/>
      </w:r>
    </w:p>
  </w:footnote>
  <w:footnote w:type="continuationSeparator" w:id="0">
    <w:p w14:paraId="145D315B" w14:textId="77777777" w:rsidR="005A68FD" w:rsidRDefault="005A68FD" w:rsidP="00F8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33"/>
    <w:multiLevelType w:val="hybridMultilevel"/>
    <w:tmpl w:val="DEA8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5F4"/>
    <w:multiLevelType w:val="hybridMultilevel"/>
    <w:tmpl w:val="DF72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D4B"/>
    <w:multiLevelType w:val="hybridMultilevel"/>
    <w:tmpl w:val="CA9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2912"/>
    <w:multiLevelType w:val="hybridMultilevel"/>
    <w:tmpl w:val="FD8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F56"/>
    <w:multiLevelType w:val="hybridMultilevel"/>
    <w:tmpl w:val="319A5C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533F3C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BBE"/>
    <w:multiLevelType w:val="hybridMultilevel"/>
    <w:tmpl w:val="499C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3355"/>
    <w:multiLevelType w:val="hybridMultilevel"/>
    <w:tmpl w:val="06F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71CE"/>
    <w:multiLevelType w:val="hybridMultilevel"/>
    <w:tmpl w:val="6D7C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2372B5C"/>
    <w:multiLevelType w:val="hybridMultilevel"/>
    <w:tmpl w:val="4B96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2D2D"/>
    <w:multiLevelType w:val="hybridMultilevel"/>
    <w:tmpl w:val="3492278A"/>
    <w:lvl w:ilvl="0" w:tplc="3DAA2E2A">
      <w:start w:val="1"/>
      <w:numFmt w:val="bullet"/>
      <w:pStyle w:val="Instructions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846EA"/>
    <w:multiLevelType w:val="hybridMultilevel"/>
    <w:tmpl w:val="6820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04"/>
    <w:rsid w:val="000163B3"/>
    <w:rsid w:val="000246A1"/>
    <w:rsid w:val="000379EA"/>
    <w:rsid w:val="00042A9C"/>
    <w:rsid w:val="00093DE1"/>
    <w:rsid w:val="00095489"/>
    <w:rsid w:val="000A716D"/>
    <w:rsid w:val="000C2C9F"/>
    <w:rsid w:val="000C6490"/>
    <w:rsid w:val="000D4FB5"/>
    <w:rsid w:val="000E06BD"/>
    <w:rsid w:val="000F14E4"/>
    <w:rsid w:val="00113F43"/>
    <w:rsid w:val="0012405D"/>
    <w:rsid w:val="00136BDE"/>
    <w:rsid w:val="0014091F"/>
    <w:rsid w:val="00141CD4"/>
    <w:rsid w:val="00171649"/>
    <w:rsid w:val="00173676"/>
    <w:rsid w:val="001E4F1B"/>
    <w:rsid w:val="001E4F78"/>
    <w:rsid w:val="00212E6C"/>
    <w:rsid w:val="00217226"/>
    <w:rsid w:val="002217CB"/>
    <w:rsid w:val="00227676"/>
    <w:rsid w:val="002303E7"/>
    <w:rsid w:val="00235122"/>
    <w:rsid w:val="00242C7B"/>
    <w:rsid w:val="00246753"/>
    <w:rsid w:val="002721DD"/>
    <w:rsid w:val="002C6687"/>
    <w:rsid w:val="002E05C5"/>
    <w:rsid w:val="002E7DCF"/>
    <w:rsid w:val="002F2D1A"/>
    <w:rsid w:val="002F44C1"/>
    <w:rsid w:val="00314B58"/>
    <w:rsid w:val="00316AC6"/>
    <w:rsid w:val="00324C72"/>
    <w:rsid w:val="003506DB"/>
    <w:rsid w:val="0035753F"/>
    <w:rsid w:val="00373514"/>
    <w:rsid w:val="00375025"/>
    <w:rsid w:val="0039060B"/>
    <w:rsid w:val="00396411"/>
    <w:rsid w:val="003B2BB2"/>
    <w:rsid w:val="003B37A0"/>
    <w:rsid w:val="003B5DDF"/>
    <w:rsid w:val="003B6361"/>
    <w:rsid w:val="003D0EC3"/>
    <w:rsid w:val="003D1FCD"/>
    <w:rsid w:val="003F727A"/>
    <w:rsid w:val="0040111E"/>
    <w:rsid w:val="00406378"/>
    <w:rsid w:val="00421E46"/>
    <w:rsid w:val="00432FF9"/>
    <w:rsid w:val="00433021"/>
    <w:rsid w:val="0043431F"/>
    <w:rsid w:val="00441DE1"/>
    <w:rsid w:val="004505DE"/>
    <w:rsid w:val="00494001"/>
    <w:rsid w:val="00494991"/>
    <w:rsid w:val="004A23D5"/>
    <w:rsid w:val="004A5DFA"/>
    <w:rsid w:val="004B03BB"/>
    <w:rsid w:val="004D6E4A"/>
    <w:rsid w:val="004D6E6B"/>
    <w:rsid w:val="004E6514"/>
    <w:rsid w:val="004F114E"/>
    <w:rsid w:val="004F3929"/>
    <w:rsid w:val="004F3937"/>
    <w:rsid w:val="0050390A"/>
    <w:rsid w:val="00505BB8"/>
    <w:rsid w:val="005154DE"/>
    <w:rsid w:val="005179C1"/>
    <w:rsid w:val="005254E3"/>
    <w:rsid w:val="0053126B"/>
    <w:rsid w:val="00532AF1"/>
    <w:rsid w:val="005424D9"/>
    <w:rsid w:val="00555E9E"/>
    <w:rsid w:val="005573CA"/>
    <w:rsid w:val="005738CD"/>
    <w:rsid w:val="00576D0E"/>
    <w:rsid w:val="0059305E"/>
    <w:rsid w:val="005A68FD"/>
    <w:rsid w:val="005B20A6"/>
    <w:rsid w:val="005B5A47"/>
    <w:rsid w:val="005D07A9"/>
    <w:rsid w:val="005F229E"/>
    <w:rsid w:val="00635399"/>
    <w:rsid w:val="00675E23"/>
    <w:rsid w:val="006B7BAF"/>
    <w:rsid w:val="006E09FF"/>
    <w:rsid w:val="006F56DC"/>
    <w:rsid w:val="006F6B50"/>
    <w:rsid w:val="00724EF6"/>
    <w:rsid w:val="00745235"/>
    <w:rsid w:val="007D4F49"/>
    <w:rsid w:val="007E4688"/>
    <w:rsid w:val="00804354"/>
    <w:rsid w:val="00810BD1"/>
    <w:rsid w:val="0082494D"/>
    <w:rsid w:val="00831606"/>
    <w:rsid w:val="00854540"/>
    <w:rsid w:val="00867DF2"/>
    <w:rsid w:val="008836D9"/>
    <w:rsid w:val="00896D4E"/>
    <w:rsid w:val="008B0553"/>
    <w:rsid w:val="00901BC2"/>
    <w:rsid w:val="0091106B"/>
    <w:rsid w:val="00932F16"/>
    <w:rsid w:val="009331EA"/>
    <w:rsid w:val="00936C8B"/>
    <w:rsid w:val="00953E59"/>
    <w:rsid w:val="009708E1"/>
    <w:rsid w:val="00971C43"/>
    <w:rsid w:val="00991AF9"/>
    <w:rsid w:val="009C5752"/>
    <w:rsid w:val="009D211D"/>
    <w:rsid w:val="009E7867"/>
    <w:rsid w:val="00A14F3D"/>
    <w:rsid w:val="00A452F2"/>
    <w:rsid w:val="00A724AE"/>
    <w:rsid w:val="00A75508"/>
    <w:rsid w:val="00A85076"/>
    <w:rsid w:val="00A979C7"/>
    <w:rsid w:val="00AA277B"/>
    <w:rsid w:val="00AB1DDA"/>
    <w:rsid w:val="00AC6F47"/>
    <w:rsid w:val="00AD0212"/>
    <w:rsid w:val="00AD1760"/>
    <w:rsid w:val="00AE0C9B"/>
    <w:rsid w:val="00AE675C"/>
    <w:rsid w:val="00AF6ABD"/>
    <w:rsid w:val="00B00227"/>
    <w:rsid w:val="00B00998"/>
    <w:rsid w:val="00B01CCA"/>
    <w:rsid w:val="00B03955"/>
    <w:rsid w:val="00B24FEB"/>
    <w:rsid w:val="00B279F1"/>
    <w:rsid w:val="00B76904"/>
    <w:rsid w:val="00B77BCA"/>
    <w:rsid w:val="00B9227E"/>
    <w:rsid w:val="00B928AF"/>
    <w:rsid w:val="00B92EDB"/>
    <w:rsid w:val="00B93488"/>
    <w:rsid w:val="00B97C54"/>
    <w:rsid w:val="00BB75BB"/>
    <w:rsid w:val="00BC41D7"/>
    <w:rsid w:val="00BE5475"/>
    <w:rsid w:val="00BF55E9"/>
    <w:rsid w:val="00C07B21"/>
    <w:rsid w:val="00C12240"/>
    <w:rsid w:val="00C20CDA"/>
    <w:rsid w:val="00C221EE"/>
    <w:rsid w:val="00C51547"/>
    <w:rsid w:val="00C52AAF"/>
    <w:rsid w:val="00C92430"/>
    <w:rsid w:val="00CA171B"/>
    <w:rsid w:val="00CA3702"/>
    <w:rsid w:val="00CE7950"/>
    <w:rsid w:val="00CF4B08"/>
    <w:rsid w:val="00D3160D"/>
    <w:rsid w:val="00D31EA4"/>
    <w:rsid w:val="00D517FC"/>
    <w:rsid w:val="00D65C25"/>
    <w:rsid w:val="00D90519"/>
    <w:rsid w:val="00DC1E39"/>
    <w:rsid w:val="00DD337D"/>
    <w:rsid w:val="00E34DCF"/>
    <w:rsid w:val="00E369D0"/>
    <w:rsid w:val="00E42B0F"/>
    <w:rsid w:val="00E65845"/>
    <w:rsid w:val="00E80D88"/>
    <w:rsid w:val="00EA6A04"/>
    <w:rsid w:val="00EC0BF4"/>
    <w:rsid w:val="00EC2AF2"/>
    <w:rsid w:val="00EC4CCF"/>
    <w:rsid w:val="00EE7A97"/>
    <w:rsid w:val="00F131D8"/>
    <w:rsid w:val="00F1482D"/>
    <w:rsid w:val="00F15AA5"/>
    <w:rsid w:val="00F160AE"/>
    <w:rsid w:val="00F23403"/>
    <w:rsid w:val="00F234BB"/>
    <w:rsid w:val="00F24871"/>
    <w:rsid w:val="00F25480"/>
    <w:rsid w:val="00F26F4D"/>
    <w:rsid w:val="00F45B24"/>
    <w:rsid w:val="00F56BC5"/>
    <w:rsid w:val="00F62790"/>
    <w:rsid w:val="00F6312C"/>
    <w:rsid w:val="00F779E9"/>
    <w:rsid w:val="00F866BD"/>
    <w:rsid w:val="00F949F2"/>
    <w:rsid w:val="00FE770C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30C485"/>
  <w15:docId w15:val="{322CEC13-19CA-460F-9BAA-6FAD25F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F3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4FB5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3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D4FB5"/>
    <w:rPr>
      <w:rFonts w:ascii="Arial" w:eastAsia="Times New Roman" w:hAnsi="Arial"/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D4F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semiHidden/>
    <w:rsid w:val="000D4FB5"/>
    <w:rPr>
      <w:rFonts w:ascii="Times New Roman" w:eastAsia="Times New Roman" w:hAnsi="Times New Roman"/>
      <w:lang w:val="en-US" w:eastAsia="en-US"/>
    </w:rPr>
  </w:style>
  <w:style w:type="paragraph" w:customStyle="1" w:styleId="Normal1">
    <w:name w:val="Normal1"/>
    <w:basedOn w:val="Normal"/>
    <w:rsid w:val="00675E23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E4688"/>
    <w:pPr>
      <w:spacing w:after="0" w:line="312" w:lineRule="atLeast"/>
      <w:ind w:left="288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7E4688"/>
    <w:rPr>
      <w:rFonts w:ascii="Times New Roman" w:eastAsia="Times New Roman" w:hAnsi="Times New Roman"/>
      <w:i/>
      <w:sz w:val="24"/>
      <w:lang w:eastAsia="en-US"/>
    </w:rPr>
  </w:style>
  <w:style w:type="paragraph" w:styleId="Footer">
    <w:name w:val="footer"/>
    <w:basedOn w:val="Normal"/>
    <w:link w:val="FooterChar"/>
    <w:unhideWhenUsed/>
    <w:rsid w:val="00F86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66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A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0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1B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1BC2"/>
    <w:rPr>
      <w:b/>
      <w:bCs/>
      <w:lang w:eastAsia="en-US"/>
    </w:rPr>
  </w:style>
  <w:style w:type="paragraph" w:styleId="Revision">
    <w:name w:val="Revision"/>
    <w:hidden/>
    <w:uiPriority w:val="99"/>
    <w:semiHidden/>
    <w:rsid w:val="004D6E6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AA277B"/>
    <w:pPr>
      <w:spacing w:before="100" w:beforeAutospacing="1" w:after="100" w:afterAutospacing="1" w:line="240" w:lineRule="auto"/>
    </w:pPr>
    <w:rPr>
      <w:rFonts w:ascii="Verdana" w:eastAsia="Times New Roman" w:hAnsi="Verdana"/>
      <w:color w:val="211E1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3539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Instructionsbulleted">
    <w:name w:val="Instructions bulleted"/>
    <w:basedOn w:val="ListParagraph"/>
    <w:uiPriority w:val="99"/>
    <w:rsid w:val="00635399"/>
    <w:pPr>
      <w:numPr>
        <w:numId w:val="9"/>
      </w:numPr>
      <w:tabs>
        <w:tab w:val="num" w:pos="720"/>
      </w:tabs>
      <w:spacing w:after="0" w:line="240" w:lineRule="auto"/>
      <w:ind w:left="720"/>
      <w:contextualSpacing w:val="0"/>
      <w:jc w:val="both"/>
    </w:pPr>
    <w:rPr>
      <w:rFonts w:ascii="Arial" w:eastAsia="Times New Roman" w:hAnsi="Arial" w:cs="Arial"/>
      <w:b/>
      <w:bCs/>
      <w:i/>
      <w:iCs/>
      <w:color w:val="0000FF"/>
      <w:szCs w:val="24"/>
    </w:rPr>
  </w:style>
  <w:style w:type="paragraph" w:styleId="ListParagraph">
    <w:name w:val="List Paragraph"/>
    <w:basedOn w:val="Normal"/>
    <w:uiPriority w:val="34"/>
    <w:qFormat/>
    <w:rsid w:val="0063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</dc:creator>
  <cp:lastModifiedBy>Emma Lawrie</cp:lastModifiedBy>
  <cp:revision>3</cp:revision>
  <dcterms:created xsi:type="dcterms:W3CDTF">2020-02-05T13:57:00Z</dcterms:created>
  <dcterms:modified xsi:type="dcterms:W3CDTF">2020-02-28T12:01:00Z</dcterms:modified>
</cp:coreProperties>
</file>